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4893E" w14:textId="77777777" w:rsidR="00FF28BD" w:rsidRDefault="00FF28BD" w:rsidP="00FF28BD">
      <w:pPr>
        <w:spacing w:before="160"/>
        <w:jc w:val="center"/>
        <w:rPr>
          <w:b/>
          <w:smallCaps/>
          <w:sz w:val="32"/>
          <w:szCs w:val="32"/>
        </w:rPr>
      </w:pPr>
      <w:r w:rsidRPr="002273B2">
        <w:rPr>
          <w:b/>
          <w:smallCaps/>
          <w:sz w:val="32"/>
          <w:szCs w:val="32"/>
        </w:rPr>
        <w:t xml:space="preserve">APPENDIX </w:t>
      </w:r>
      <w:r>
        <w:rPr>
          <w:b/>
          <w:smallCaps/>
          <w:sz w:val="32"/>
          <w:szCs w:val="32"/>
        </w:rPr>
        <w:t>D</w:t>
      </w:r>
      <w:r w:rsidRPr="002273B2">
        <w:rPr>
          <w:b/>
          <w:smallCaps/>
          <w:sz w:val="32"/>
          <w:szCs w:val="32"/>
        </w:rPr>
        <w:t xml:space="preserve">:  </w:t>
      </w:r>
      <w:r>
        <w:rPr>
          <w:b/>
          <w:smallCaps/>
          <w:sz w:val="32"/>
          <w:szCs w:val="32"/>
        </w:rPr>
        <w:t>Logic Model</w:t>
      </w:r>
    </w:p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42"/>
        <w:gridCol w:w="5130"/>
        <w:gridCol w:w="1181"/>
        <w:gridCol w:w="2275"/>
        <w:gridCol w:w="2573"/>
        <w:gridCol w:w="1994"/>
      </w:tblGrid>
      <w:tr w:rsidR="00FF28BD" w:rsidRPr="003C72D3" w14:paraId="088EAC70" w14:textId="77777777" w:rsidTr="0098502F">
        <w:trPr>
          <w:cantSplit/>
          <w:trHeight w:val="1925"/>
        </w:trPr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0371E5B2" w14:textId="77777777" w:rsidR="00FF28BD" w:rsidRPr="003C72D3" w:rsidRDefault="00FF28BD" w:rsidP="009850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3858CCB" w14:textId="77777777" w:rsidR="00FF28BD" w:rsidRPr="003C72D3" w:rsidRDefault="00FF28BD" w:rsidP="009850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72D3">
              <w:rPr>
                <w:rFonts w:ascii="Calibri" w:hAnsi="Calibri" w:cs="Calibri"/>
                <w:b/>
                <w:bCs/>
                <w:sz w:val="18"/>
                <w:szCs w:val="18"/>
              </w:rPr>
              <w:t>Consequence(s)</w:t>
            </w:r>
          </w:p>
          <w:p w14:paraId="75772B3F" w14:textId="77777777" w:rsidR="00FF28BD" w:rsidRPr="003C72D3" w:rsidRDefault="00FF28BD" w:rsidP="009850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72D3">
              <w:rPr>
                <w:rFonts w:ascii="Calibri" w:hAnsi="Calibri" w:cs="Calibri"/>
                <w:b/>
                <w:bCs/>
                <w:sz w:val="18"/>
                <w:szCs w:val="18"/>
              </w:rPr>
              <w:t>(Primary Problem)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77C3187A" w14:textId="77777777" w:rsidR="00FF28BD" w:rsidRPr="003C72D3" w:rsidRDefault="00FF28BD" w:rsidP="009850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28F059F" w14:textId="77777777" w:rsidR="00FF28BD" w:rsidRPr="003C72D3" w:rsidRDefault="00FF28BD" w:rsidP="009850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72D3">
              <w:rPr>
                <w:rFonts w:ascii="Calibri" w:hAnsi="Calibri" w:cs="Calibri"/>
                <w:b/>
                <w:bCs/>
                <w:sz w:val="18"/>
                <w:szCs w:val="18"/>
              </w:rPr>
              <w:t>Consequence Support Data (Include data sources)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13D75DA3" w14:textId="77777777" w:rsidR="00FF28BD" w:rsidRPr="003C72D3" w:rsidRDefault="00FF28BD" w:rsidP="009850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82FE485" w14:textId="77777777" w:rsidR="00FF28BD" w:rsidRPr="003C72D3" w:rsidRDefault="00FF28BD" w:rsidP="009850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72D3">
              <w:rPr>
                <w:rFonts w:ascii="Calibri" w:hAnsi="Calibri" w:cs="Calibri"/>
                <w:b/>
                <w:bCs/>
                <w:sz w:val="18"/>
                <w:szCs w:val="18"/>
              </w:rPr>
              <w:t>Associated Intervening Variable(s) to be Targeted (Risk &amp; Protective Factors)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5EA5E5" w14:textId="77777777" w:rsidR="00FF28BD" w:rsidRPr="003C72D3" w:rsidRDefault="00FF28BD" w:rsidP="009850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A0F2B63" w14:textId="77777777" w:rsidR="00FF28BD" w:rsidRPr="003C72D3" w:rsidRDefault="00FF28BD" w:rsidP="009850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72D3">
              <w:rPr>
                <w:rFonts w:ascii="Calibri" w:hAnsi="Calibri" w:cs="Calibri"/>
                <w:b/>
                <w:bCs/>
                <w:sz w:val="18"/>
                <w:szCs w:val="18"/>
              </w:rPr>
              <w:t>Primary Federal Strategies and Evidence-Based Services/ Interventions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007611" w14:textId="77777777" w:rsidR="00FF28BD" w:rsidRPr="003C72D3" w:rsidRDefault="00FF28BD" w:rsidP="009850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3BE42D1" w14:textId="77777777" w:rsidR="00FF28BD" w:rsidRPr="003C72D3" w:rsidRDefault="00FF28BD" w:rsidP="009850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72D3">
              <w:rPr>
                <w:rFonts w:ascii="Calibri" w:hAnsi="Calibri" w:cs="Calibri"/>
                <w:b/>
                <w:bCs/>
                <w:sz w:val="18"/>
                <w:szCs w:val="18"/>
              </w:rPr>
              <w:t>Activity Related Short Term Outcomes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162132" w14:textId="77777777" w:rsidR="00FF28BD" w:rsidRPr="003C72D3" w:rsidRDefault="00FF28BD" w:rsidP="009850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D0449C3" w14:textId="77777777" w:rsidR="00FF28BD" w:rsidRPr="003C72D3" w:rsidRDefault="00FF28BD" w:rsidP="009850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72D3">
              <w:rPr>
                <w:rFonts w:ascii="Calibri" w:hAnsi="Calibri" w:cs="Calibri"/>
                <w:b/>
                <w:bCs/>
                <w:sz w:val="18"/>
                <w:szCs w:val="18"/>
              </w:rPr>
              <w:t>Long Term Outcome</w:t>
            </w:r>
          </w:p>
        </w:tc>
      </w:tr>
      <w:tr w:rsidR="00FF28BD" w:rsidRPr="003C72D3" w14:paraId="5AE30C18" w14:textId="77777777" w:rsidTr="0098502F">
        <w:trPr>
          <w:trHeight w:val="720"/>
        </w:trPr>
        <w:tc>
          <w:tcPr>
            <w:tcW w:w="1241" w:type="dxa"/>
            <w:shd w:val="clear" w:color="auto" w:fill="auto"/>
            <w:vAlign w:val="bottom"/>
          </w:tcPr>
          <w:p w14:paraId="6479FC0F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Past 30 day youth gambling rates 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36C7AE35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>Early age of onset (8.5 years for pathological gamblers; 11.5 years for non-pathological gamblers)</w:t>
            </w:r>
          </w:p>
          <w:p w14:paraId="2572EA2B" w14:textId="77777777" w:rsidR="00FF28BD" w:rsidRPr="00C8449F" w:rsidRDefault="00FF28BD" w:rsidP="0098502F">
            <w:pPr>
              <w:rPr>
                <w:rFonts w:cstheme="minorHAnsi"/>
                <w:sz w:val="16"/>
                <w:szCs w:val="16"/>
              </w:rPr>
            </w:pPr>
            <w:r w:rsidRPr="00C8449F">
              <w:rPr>
                <w:rFonts w:cstheme="minorHAnsi"/>
                <w:sz w:val="16"/>
                <w:szCs w:val="16"/>
              </w:rPr>
              <w:t>YOUTH GAMBLING PROBLEMS: THE IDENTIFICATION OF RISK AND PROTECTIVE FACTORS: Report to the Ontario Problem Gambling Research Centre: Laurie Dickson, M.A. Jeffrey L. Derevensky, Ph.D., Rina Gupta, Ph.D.</w:t>
            </w:r>
          </w:p>
          <w:p w14:paraId="1DAC8E2D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According to the 2018 MiPHY, 12 – 19% of youth in Region 6 have gambled in the past 30 days. </w:t>
            </w:r>
          </w:p>
          <w:p w14:paraId="7FD72305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C8449F">
              <w:rPr>
                <w:rFonts w:cstheme="minorHAnsi"/>
                <w:sz w:val="16"/>
                <w:szCs w:val="16"/>
              </w:rPr>
              <w:t>2018 MiPHY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7B676C60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Social and family norms favorable to gamble </w:t>
            </w:r>
          </w:p>
          <w:p w14:paraId="49B59EED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</w:p>
          <w:p w14:paraId="579ED445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Low perceptions of risk and harm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4243AC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Prevention education: Stacked Deck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2AC07A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Improve youth decision-making and problem-solving skills to empower youth to make healthy decisions about gambling activities </w:t>
            </w:r>
          </w:p>
          <w:p w14:paraId="2326DB7F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Changing youth gambling-related attitudes, knowledge, beliefs and practices to increase the perception of risk associated with gambling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BF5315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Decrease past 30 day youth gambling rates </w:t>
            </w:r>
          </w:p>
        </w:tc>
      </w:tr>
      <w:tr w:rsidR="00FF28BD" w:rsidRPr="003C72D3" w14:paraId="58CE35ED" w14:textId="77777777" w:rsidTr="0098502F">
        <w:trPr>
          <w:trHeight w:val="720"/>
        </w:trPr>
        <w:tc>
          <w:tcPr>
            <w:tcW w:w="1241" w:type="dxa"/>
            <w:shd w:val="clear" w:color="auto" w:fill="auto"/>
            <w:vAlign w:val="bottom"/>
          </w:tcPr>
          <w:p w14:paraId="5353C8CA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>Michigan residents are unsure of resources available to someone with gambling problems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504ABF94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According to the 2019 NGAGE Survey, 32% of survey respondents in Michigan know where to get help if someone close to them had a gambling problem. </w:t>
            </w:r>
          </w:p>
          <w:p w14:paraId="5EA47492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F90976">
              <w:rPr>
                <w:rFonts w:cstheme="minorHAnsi"/>
                <w:sz w:val="16"/>
                <w:szCs w:val="16"/>
              </w:rPr>
              <w:t>2019 National Survey on Gambling Attitudes and Gambling Experience (NGAGE)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6618DCC7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>Environmental factor:</w:t>
            </w:r>
          </w:p>
          <w:p w14:paraId="62DAB308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>Lack of knowledge of supports and resources available to the individual and family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131398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Information dissemination using media/marketing campaign on trained clinicians and the MDHHS Help Line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E39852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>Increase community knowledge of supports and resources available to the individual and family when there is a gambling concern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573D0F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>Increase the awareness of help/support for someone with a gambling problem</w:t>
            </w:r>
          </w:p>
        </w:tc>
      </w:tr>
      <w:tr w:rsidR="00FF28BD" w:rsidRPr="003C72D3" w14:paraId="3623090B" w14:textId="77777777" w:rsidTr="0098502F">
        <w:trPr>
          <w:trHeight w:val="720"/>
        </w:trPr>
        <w:tc>
          <w:tcPr>
            <w:tcW w:w="1241" w:type="dxa"/>
            <w:shd w:val="clear" w:color="auto" w:fill="auto"/>
            <w:vAlign w:val="bottom"/>
          </w:tcPr>
          <w:p w14:paraId="79F797E4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>Michigan residents lack an understanding of the risks associated with gambling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2A8AFB05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According to the 2019 NGAGE Survey, 9% of the survey respondents in Michigan who have gambled in the past year agree if I gamble more often, it will help me to win more than I lose. </w:t>
            </w:r>
          </w:p>
          <w:p w14:paraId="30CCA597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F90976">
              <w:rPr>
                <w:rFonts w:cstheme="minorHAnsi"/>
                <w:sz w:val="16"/>
                <w:szCs w:val="16"/>
              </w:rPr>
              <w:t>2019 National Survey on Gambling Attitudes and Gambling Experience (NGAGE)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35F9633B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>Low perceptions of risk and harm – Belief that skill is involved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608BF3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>Information dissemination:</w:t>
            </w:r>
          </w:p>
          <w:p w14:paraId="01E5C7FE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Media campaign on responsible gambling/gaming  </w:t>
            </w:r>
          </w:p>
          <w:p w14:paraId="6735FF29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Educational materials on responsible gambling/gaming  </w:t>
            </w:r>
          </w:p>
          <w:p w14:paraId="1D8AC854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lastRenderedPageBreak/>
              <w:t xml:space="preserve">Community based coalition involvement: Educational events on responsible gambling/gaming 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33EF5E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lastRenderedPageBreak/>
              <w:t xml:space="preserve">Increase parental and community understanding of age restrictions and the importance of limiting youth access </w:t>
            </w:r>
          </w:p>
          <w:p w14:paraId="1372D37A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</w:p>
          <w:p w14:paraId="37279935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lastRenderedPageBreak/>
              <w:t xml:space="preserve">Increase community understanding of gambling as entertainment and responsible gambling/gaming behaviors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2D4E57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lastRenderedPageBreak/>
              <w:t xml:space="preserve">Increase the understanding of the risks associated with gambling  for participants and vendors </w:t>
            </w:r>
          </w:p>
        </w:tc>
      </w:tr>
      <w:tr w:rsidR="00FF28BD" w:rsidRPr="003C72D3" w14:paraId="414CB78E" w14:textId="77777777" w:rsidTr="0098502F">
        <w:trPr>
          <w:trHeight w:val="720"/>
        </w:trPr>
        <w:tc>
          <w:tcPr>
            <w:tcW w:w="1241" w:type="dxa"/>
            <w:shd w:val="clear" w:color="auto" w:fill="auto"/>
            <w:vAlign w:val="bottom"/>
          </w:tcPr>
          <w:p w14:paraId="791EAFA1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Michigan residents lack an understanding of problem gambling as a diagnosable disease 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29449C04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According to the 2019 NGAGE Survey, 79% of the survey respondents in Michigan believe not having enough will power is likely to cause a gambling problem. </w:t>
            </w:r>
          </w:p>
          <w:p w14:paraId="482207EA" w14:textId="77777777" w:rsidR="00FF28BD" w:rsidRPr="00F90976" w:rsidRDefault="00FF28BD" w:rsidP="0098502F">
            <w:pPr>
              <w:rPr>
                <w:rFonts w:cstheme="minorHAnsi"/>
                <w:sz w:val="16"/>
                <w:szCs w:val="16"/>
              </w:rPr>
            </w:pPr>
            <w:r w:rsidRPr="00F90976">
              <w:rPr>
                <w:rFonts w:cstheme="minorHAnsi"/>
                <w:sz w:val="16"/>
                <w:szCs w:val="16"/>
              </w:rPr>
              <w:t xml:space="preserve">2019 National Survey on Gambling Attitudes and Gambling Experience (NGAGE) </w:t>
            </w:r>
          </w:p>
          <w:p w14:paraId="5C967A44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According to the 2019 NGAGE Survey, 52% of the survey respondents in Michigan believe a moral weakness is likely to cause a gambling problem. </w:t>
            </w:r>
          </w:p>
          <w:p w14:paraId="13DD6FE0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F90976">
              <w:rPr>
                <w:rFonts w:cstheme="minorHAnsi"/>
                <w:sz w:val="16"/>
                <w:szCs w:val="16"/>
              </w:rPr>
              <w:t>2019 National Survey on Gambling Attitudes and Gambling Experience (NGAGE)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3119B0CE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Lack of knowledge of problem gambling disease and stigma 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A08CCD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>Information dissemination:</w:t>
            </w:r>
          </w:p>
          <w:p w14:paraId="474676A1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Media campaign </w:t>
            </w:r>
          </w:p>
          <w:p w14:paraId="7541D660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>Educational materials</w:t>
            </w:r>
          </w:p>
          <w:p w14:paraId="79CA238C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>Community based coalition involvement: Educational events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C2A9AB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>Increase community knowledge of gambling disorder and addiction as a disease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F3F00A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Increase the understanding od gambling as a diagnosable disease </w:t>
            </w:r>
          </w:p>
        </w:tc>
      </w:tr>
      <w:tr w:rsidR="00FF28BD" w:rsidRPr="003C72D3" w14:paraId="5D34B51F" w14:textId="77777777" w:rsidTr="0098502F">
        <w:trPr>
          <w:trHeight w:val="720"/>
        </w:trPr>
        <w:tc>
          <w:tcPr>
            <w:tcW w:w="1241" w:type="dxa"/>
            <w:shd w:val="clear" w:color="auto" w:fill="auto"/>
            <w:vAlign w:val="bottom"/>
          </w:tcPr>
          <w:p w14:paraId="372A893F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Lack of early identification of gambling problems 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75DFF460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According to the 2019 NGAGE Survey, 81% of the respondents have gambled in the past year. </w:t>
            </w:r>
          </w:p>
          <w:p w14:paraId="2BAEF373" w14:textId="77777777" w:rsidR="00FF28BD" w:rsidRPr="00F90976" w:rsidRDefault="00FF28BD" w:rsidP="0098502F">
            <w:pPr>
              <w:rPr>
                <w:rFonts w:cstheme="minorHAnsi"/>
                <w:sz w:val="16"/>
                <w:szCs w:val="16"/>
              </w:rPr>
            </w:pPr>
            <w:r w:rsidRPr="00F90976">
              <w:rPr>
                <w:rFonts w:cstheme="minorHAnsi"/>
                <w:sz w:val="16"/>
                <w:szCs w:val="16"/>
              </w:rPr>
              <w:t>2019 National Survey on Gambling Attitudes and Gambling Experience (NGAGE)</w:t>
            </w:r>
          </w:p>
          <w:p w14:paraId="71BE3DE5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Upwards of 80% of adolescents have engaged in some form of gambling during their lifetime. </w:t>
            </w:r>
          </w:p>
          <w:p w14:paraId="2A596018" w14:textId="77777777" w:rsidR="00FF28BD" w:rsidRPr="00F90976" w:rsidRDefault="00FF28BD" w:rsidP="0098502F">
            <w:pPr>
              <w:rPr>
                <w:rFonts w:cstheme="minorHAnsi"/>
                <w:sz w:val="16"/>
                <w:szCs w:val="16"/>
              </w:rPr>
            </w:pPr>
            <w:r w:rsidRPr="00F90976">
              <w:rPr>
                <w:rFonts w:cstheme="minorHAnsi"/>
                <w:sz w:val="16"/>
                <w:szCs w:val="16"/>
              </w:rPr>
              <w:t>Health Promotion International, Volume 20, Issue 1, 1 March 2005, Pages 69–79, https://doi.org/10.1093/heapro/dah509 Published: 28 January 2005</w:t>
            </w:r>
          </w:p>
          <w:p w14:paraId="41C853C2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>Mortality and suicide rates are significantly elevated among individuals with Gambling Disorder.</w:t>
            </w:r>
          </w:p>
          <w:p w14:paraId="3D42078D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F90976">
              <w:rPr>
                <w:rFonts w:cstheme="minorHAnsi"/>
                <w:sz w:val="16"/>
                <w:szCs w:val="16"/>
              </w:rPr>
              <w:t>J Behav Addict. 2018 Dec 1;7(4):1091-1099. doi: 10.1556/2006.7.2018.112. Epub 2018 Nov 14. https://www.ncbi.nlm.nih.gov/pubmed/30427214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29289067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Lack of knowledge of signs and symptoms of problem gambling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3893A4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Early identification of gambling related problems and referrals to services </w:t>
            </w:r>
          </w:p>
          <w:p w14:paraId="5984B459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>Increase number of trained clinicians in Region 6</w:t>
            </w:r>
          </w:p>
          <w:p w14:paraId="530795E5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>Incorporate NODS CLIP and NODS incorporated into SUD intake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0E4AAE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 xml:space="preserve">Increase the knowledge of signs and symptoms of problem gambling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53E2E7" w14:textId="77777777" w:rsidR="00FF28BD" w:rsidRPr="003C72D3" w:rsidRDefault="00FF28BD" w:rsidP="0098502F">
            <w:pPr>
              <w:rPr>
                <w:rFonts w:cstheme="minorHAnsi"/>
                <w:sz w:val="18"/>
                <w:szCs w:val="18"/>
              </w:rPr>
            </w:pPr>
            <w:r w:rsidRPr="003C72D3">
              <w:rPr>
                <w:rFonts w:cstheme="minorHAnsi"/>
                <w:sz w:val="18"/>
                <w:szCs w:val="18"/>
              </w:rPr>
              <w:t>Increase the early identification of those with problem gambling behaviors and referral to services</w:t>
            </w:r>
          </w:p>
        </w:tc>
      </w:tr>
    </w:tbl>
    <w:p w14:paraId="483ED980" w14:textId="77777777" w:rsidR="008B7101" w:rsidRDefault="008B7101"/>
    <w:sectPr w:rsidR="008B7101" w:rsidSect="00FF28BD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BD"/>
    <w:rsid w:val="0030412E"/>
    <w:rsid w:val="008B7101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7C55"/>
  <w15:chartTrackingRefBased/>
  <w15:docId w15:val="{829012B8-467F-451B-8D1F-7CAF6A67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DuBois</dc:creator>
  <cp:keywords/>
  <dc:description/>
  <cp:lastModifiedBy>Rebecca DuBois</cp:lastModifiedBy>
  <cp:revision>2</cp:revision>
  <dcterms:created xsi:type="dcterms:W3CDTF">2021-01-08T20:27:00Z</dcterms:created>
  <dcterms:modified xsi:type="dcterms:W3CDTF">2021-01-08T20:29:00Z</dcterms:modified>
</cp:coreProperties>
</file>